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A8BB" w14:textId="2A52B961" w:rsidR="00292F90" w:rsidRDefault="00292F90">
      <w:pPr>
        <w:rPr>
          <w:rFonts w:ascii="Arial" w:hAnsi="Arial" w:cs="Arial"/>
          <w:sz w:val="28"/>
          <w:szCs w:val="28"/>
        </w:rPr>
      </w:pPr>
      <w:r w:rsidRPr="00292F90">
        <w:rPr>
          <w:rFonts w:ascii="Arial" w:hAnsi="Arial" w:cs="Arial"/>
          <w:b/>
          <w:bCs/>
          <w:sz w:val="28"/>
          <w:szCs w:val="28"/>
        </w:rPr>
        <w:t xml:space="preserve">Osteoporosis Treatment </w:t>
      </w:r>
      <w:proofErr w:type="gramStart"/>
      <w:r w:rsidRPr="00292F90">
        <w:rPr>
          <w:rFonts w:ascii="Arial" w:hAnsi="Arial" w:cs="Arial"/>
          <w:b/>
          <w:bCs/>
          <w:sz w:val="28"/>
          <w:szCs w:val="28"/>
        </w:rPr>
        <w:t>With</w:t>
      </w:r>
      <w:proofErr w:type="gramEnd"/>
      <w:r w:rsidRPr="00292F90">
        <w:rPr>
          <w:rFonts w:ascii="Arial" w:hAnsi="Arial" w:cs="Arial"/>
          <w:b/>
          <w:bCs/>
          <w:sz w:val="28"/>
          <w:szCs w:val="28"/>
        </w:rPr>
        <w:t xml:space="preserve"> Romosozumab Results in Fewer Fractures Than Treatment With Alendronate Alone</w:t>
      </w:r>
    </w:p>
    <w:p w14:paraId="429E7DED" w14:textId="5551D612" w:rsidR="00292F90" w:rsidRDefault="00292F90">
      <w:pPr>
        <w:rPr>
          <w:rFonts w:ascii="Arial" w:hAnsi="Arial" w:cs="Arial"/>
          <w:sz w:val="28"/>
          <w:szCs w:val="28"/>
        </w:rPr>
      </w:pPr>
    </w:p>
    <w:p w14:paraId="3F8E5CBC" w14:textId="6084BFC7" w:rsidR="00292F90" w:rsidRDefault="00292F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Osteoporotic women treated with </w:t>
      </w:r>
      <w:r w:rsidR="00E92D87"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 xml:space="preserve">year of </w:t>
      </w:r>
      <w:proofErr w:type="spellStart"/>
      <w:r>
        <w:rPr>
          <w:rFonts w:ascii="Arial" w:hAnsi="Arial" w:cs="Arial"/>
          <w:sz w:val="20"/>
          <w:szCs w:val="20"/>
        </w:rPr>
        <w:t>romosozumab</w:t>
      </w:r>
      <w:proofErr w:type="spellEnd"/>
      <w:r>
        <w:rPr>
          <w:rFonts w:ascii="Arial" w:hAnsi="Arial" w:cs="Arial"/>
          <w:sz w:val="20"/>
          <w:szCs w:val="20"/>
        </w:rPr>
        <w:t xml:space="preserve"> followed by alendronate were less likely to have new fractures than those treated solely with alendronate</w:t>
      </w:r>
    </w:p>
    <w:p w14:paraId="510810EC" w14:textId="3D7E0A0C" w:rsidR="00292F90" w:rsidRDefault="00292F90">
      <w:pPr>
        <w:rPr>
          <w:rFonts w:ascii="Arial" w:hAnsi="Arial" w:cs="Arial"/>
          <w:sz w:val="20"/>
          <w:szCs w:val="20"/>
        </w:rPr>
      </w:pPr>
    </w:p>
    <w:p w14:paraId="27543FCF" w14:textId="5A716D59" w:rsidR="00292F90" w:rsidRDefault="00292F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 Kiridly, MD, MBA</w:t>
      </w:r>
    </w:p>
    <w:p w14:paraId="4C7CC2F4" w14:textId="694FD963" w:rsidR="00292F90" w:rsidRDefault="00292F90">
      <w:pPr>
        <w:rPr>
          <w:rFonts w:ascii="Arial" w:hAnsi="Arial" w:cs="Arial"/>
          <w:sz w:val="20"/>
          <w:szCs w:val="20"/>
        </w:rPr>
      </w:pPr>
    </w:p>
    <w:p w14:paraId="6FDF282C" w14:textId="1854B35A" w:rsidR="000366F5" w:rsidRDefault="00292F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Women with osteoporosis</w:t>
      </w:r>
      <w:r w:rsidR="000366F5">
        <w:rPr>
          <w:rFonts w:ascii="Arial" w:hAnsi="Arial" w:cs="Arial"/>
          <w:sz w:val="20"/>
          <w:szCs w:val="20"/>
        </w:rPr>
        <w:t xml:space="preserve"> </w:t>
      </w:r>
      <w:r w:rsidR="006A570E">
        <w:rPr>
          <w:rFonts w:ascii="Arial" w:hAnsi="Arial" w:cs="Arial"/>
          <w:sz w:val="20"/>
          <w:szCs w:val="20"/>
        </w:rPr>
        <w:t xml:space="preserve">and a prior fragility fracture </w:t>
      </w:r>
      <w:r w:rsidR="000366F5">
        <w:rPr>
          <w:rFonts w:ascii="Arial" w:hAnsi="Arial" w:cs="Arial"/>
          <w:sz w:val="20"/>
          <w:szCs w:val="20"/>
        </w:rPr>
        <w:t>who were treated</w:t>
      </w:r>
      <w:r>
        <w:rPr>
          <w:rFonts w:ascii="Arial" w:hAnsi="Arial" w:cs="Arial"/>
          <w:sz w:val="20"/>
          <w:szCs w:val="20"/>
        </w:rPr>
        <w:t xml:space="preserve"> </w:t>
      </w:r>
      <w:r w:rsidR="000366F5">
        <w:rPr>
          <w:rFonts w:ascii="Arial" w:hAnsi="Arial" w:cs="Arial"/>
          <w:sz w:val="20"/>
          <w:szCs w:val="20"/>
        </w:rPr>
        <w:t xml:space="preserve">with </w:t>
      </w:r>
      <w:r w:rsidR="00E92D87">
        <w:rPr>
          <w:rFonts w:ascii="Arial" w:hAnsi="Arial" w:cs="Arial"/>
          <w:sz w:val="20"/>
          <w:szCs w:val="20"/>
        </w:rPr>
        <w:t xml:space="preserve">1 </w:t>
      </w:r>
      <w:r w:rsidR="000366F5">
        <w:rPr>
          <w:rFonts w:ascii="Arial" w:hAnsi="Arial" w:cs="Arial"/>
          <w:sz w:val="20"/>
          <w:szCs w:val="20"/>
        </w:rPr>
        <w:t xml:space="preserve">year of </w:t>
      </w:r>
      <w:proofErr w:type="spellStart"/>
      <w:r w:rsidR="000366F5">
        <w:rPr>
          <w:rFonts w:ascii="Arial" w:hAnsi="Arial" w:cs="Arial"/>
          <w:sz w:val="20"/>
          <w:szCs w:val="20"/>
        </w:rPr>
        <w:t>romosozumab</w:t>
      </w:r>
      <w:proofErr w:type="spellEnd"/>
      <w:r w:rsidR="000366F5">
        <w:rPr>
          <w:rFonts w:ascii="Arial" w:hAnsi="Arial" w:cs="Arial"/>
          <w:sz w:val="20"/>
          <w:szCs w:val="20"/>
        </w:rPr>
        <w:t xml:space="preserve"> followed by alendronate </w:t>
      </w:r>
      <w:r>
        <w:rPr>
          <w:rFonts w:ascii="Arial" w:hAnsi="Arial" w:cs="Arial"/>
          <w:sz w:val="20"/>
          <w:szCs w:val="20"/>
        </w:rPr>
        <w:t xml:space="preserve">were </w:t>
      </w:r>
      <w:r w:rsidR="000366F5">
        <w:rPr>
          <w:rFonts w:ascii="Arial" w:hAnsi="Arial" w:cs="Arial"/>
          <w:sz w:val="20"/>
          <w:szCs w:val="20"/>
        </w:rPr>
        <w:t>48% less likely to have a new vertebral fracture</w:t>
      </w:r>
      <w:r w:rsidR="00A33017">
        <w:rPr>
          <w:rFonts w:ascii="Arial" w:hAnsi="Arial" w:cs="Arial"/>
          <w:sz w:val="20"/>
          <w:szCs w:val="20"/>
        </w:rPr>
        <w:t xml:space="preserve"> and 19% less likely to have a new nonvertebral fracture</w:t>
      </w:r>
      <w:r w:rsidR="000366F5">
        <w:rPr>
          <w:rFonts w:ascii="Arial" w:hAnsi="Arial" w:cs="Arial"/>
          <w:sz w:val="20"/>
          <w:szCs w:val="20"/>
        </w:rPr>
        <w:t xml:space="preserve"> compared </w:t>
      </w:r>
      <w:r w:rsidR="00E92D87">
        <w:rPr>
          <w:rFonts w:ascii="Arial" w:hAnsi="Arial" w:cs="Arial"/>
          <w:sz w:val="20"/>
          <w:szCs w:val="20"/>
        </w:rPr>
        <w:t xml:space="preserve">with </w:t>
      </w:r>
      <w:r w:rsidR="000366F5">
        <w:rPr>
          <w:rFonts w:ascii="Arial" w:hAnsi="Arial" w:cs="Arial"/>
          <w:sz w:val="20"/>
          <w:szCs w:val="20"/>
        </w:rPr>
        <w:t>those treated with alendronate alone.</w:t>
      </w:r>
    </w:p>
    <w:p w14:paraId="205DF1EC" w14:textId="4F16A2DB" w:rsidR="000366F5" w:rsidRDefault="000366F5">
      <w:pPr>
        <w:rPr>
          <w:rFonts w:ascii="Arial" w:hAnsi="Arial" w:cs="Arial"/>
          <w:sz w:val="20"/>
          <w:szCs w:val="20"/>
        </w:rPr>
      </w:pPr>
    </w:p>
    <w:p w14:paraId="32728746" w14:textId="789D234B" w:rsidR="000366F5" w:rsidRDefault="000366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Kenneth Saag, MD, with the University of Alabama</w:t>
      </w:r>
      <w:r w:rsidR="006A570E">
        <w:rPr>
          <w:rFonts w:ascii="Arial" w:hAnsi="Arial" w:cs="Arial"/>
          <w:sz w:val="20"/>
          <w:szCs w:val="20"/>
        </w:rPr>
        <w:t xml:space="preserve"> at</w:t>
      </w:r>
      <w:r>
        <w:rPr>
          <w:rFonts w:ascii="Arial" w:hAnsi="Arial" w:cs="Arial"/>
          <w:sz w:val="20"/>
          <w:szCs w:val="20"/>
        </w:rPr>
        <w:t xml:space="preserve"> Birmingham, and colleagues reported their findings in the October 12, 2017</w:t>
      </w:r>
      <w:r w:rsidR="00E92D8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issue of the </w:t>
      </w:r>
      <w:r>
        <w:rPr>
          <w:rFonts w:ascii="Arial" w:hAnsi="Arial" w:cs="Arial"/>
          <w:i/>
          <w:iCs/>
          <w:sz w:val="20"/>
          <w:szCs w:val="20"/>
        </w:rPr>
        <w:t>New England Journal of Medicine</w:t>
      </w:r>
      <w:r w:rsidR="006A570E">
        <w:rPr>
          <w:rFonts w:ascii="Arial" w:hAnsi="Arial" w:cs="Arial"/>
          <w:i/>
          <w:iCs/>
          <w:sz w:val="20"/>
          <w:szCs w:val="20"/>
        </w:rPr>
        <w:t>.</w:t>
      </w:r>
    </w:p>
    <w:p w14:paraId="4C16E1B6" w14:textId="24DDECB1" w:rsidR="006A570E" w:rsidRDefault="006A570E">
      <w:pPr>
        <w:rPr>
          <w:rFonts w:ascii="Arial" w:hAnsi="Arial" w:cs="Arial"/>
          <w:sz w:val="20"/>
          <w:szCs w:val="20"/>
        </w:rPr>
      </w:pPr>
    </w:p>
    <w:p w14:paraId="4179E793" w14:textId="1E28858C" w:rsidR="00A33017" w:rsidRDefault="006A57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Osteoporotic fragility fractures</w:t>
      </w:r>
      <w:r w:rsidR="002510B4">
        <w:rPr>
          <w:rFonts w:ascii="Arial" w:hAnsi="Arial" w:cs="Arial"/>
          <w:sz w:val="20"/>
          <w:szCs w:val="20"/>
        </w:rPr>
        <w:t>, such as vertebral and hip fractures,</w:t>
      </w:r>
      <w:r>
        <w:rPr>
          <w:rFonts w:ascii="Arial" w:hAnsi="Arial" w:cs="Arial"/>
          <w:sz w:val="20"/>
          <w:szCs w:val="20"/>
        </w:rPr>
        <w:t xml:space="preserve"> </w:t>
      </w:r>
      <w:r w:rsidR="002510B4">
        <w:rPr>
          <w:rFonts w:ascii="Arial" w:hAnsi="Arial" w:cs="Arial"/>
          <w:sz w:val="20"/>
          <w:szCs w:val="20"/>
        </w:rPr>
        <w:t xml:space="preserve">result in significant morbidity and mortality in elderly patients. Shifting demographics in the US and other western countries </w:t>
      </w:r>
      <w:r w:rsidR="00C32C8F">
        <w:rPr>
          <w:rFonts w:ascii="Arial" w:hAnsi="Arial" w:cs="Arial"/>
          <w:sz w:val="20"/>
          <w:szCs w:val="20"/>
        </w:rPr>
        <w:t>have led to a rise in</w:t>
      </w:r>
      <w:r w:rsidR="002510B4">
        <w:rPr>
          <w:rFonts w:ascii="Arial" w:hAnsi="Arial" w:cs="Arial"/>
          <w:sz w:val="20"/>
          <w:szCs w:val="20"/>
        </w:rPr>
        <w:t xml:space="preserve"> osteoporosis and its sequelae. Treatment with medications that reduce bone resorption, such as alendronate, has previously been shown to significantly reduce the risk of fragility fractures.  </w:t>
      </w:r>
    </w:p>
    <w:p w14:paraId="64BCBFF4" w14:textId="77777777" w:rsidR="00A33017" w:rsidRDefault="00A33017">
      <w:pPr>
        <w:rPr>
          <w:rFonts w:ascii="Arial" w:hAnsi="Arial" w:cs="Arial"/>
          <w:sz w:val="20"/>
          <w:szCs w:val="20"/>
        </w:rPr>
      </w:pPr>
    </w:p>
    <w:p w14:paraId="70CE1984" w14:textId="489E7E40" w:rsidR="006A570E" w:rsidRDefault="002510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Romosozumab is a new </w:t>
      </w:r>
      <w:r w:rsidR="00C32C8F">
        <w:rPr>
          <w:rFonts w:ascii="Arial" w:hAnsi="Arial" w:cs="Arial"/>
          <w:sz w:val="20"/>
          <w:szCs w:val="20"/>
        </w:rPr>
        <w:t xml:space="preserve">osteoporosis </w:t>
      </w:r>
      <w:r>
        <w:rPr>
          <w:rFonts w:ascii="Arial" w:hAnsi="Arial" w:cs="Arial"/>
          <w:sz w:val="20"/>
          <w:szCs w:val="20"/>
        </w:rPr>
        <w:t xml:space="preserve">medication </w:t>
      </w:r>
      <w:r w:rsidR="00E92D87">
        <w:rPr>
          <w:rFonts w:ascii="Arial" w:hAnsi="Arial" w:cs="Arial"/>
          <w:sz w:val="20"/>
          <w:szCs w:val="20"/>
        </w:rPr>
        <w:t xml:space="preserve">that </w:t>
      </w:r>
      <w:r w:rsidR="00A33017">
        <w:rPr>
          <w:rFonts w:ascii="Arial" w:hAnsi="Arial" w:cs="Arial"/>
          <w:sz w:val="20"/>
          <w:szCs w:val="20"/>
        </w:rPr>
        <w:t xml:space="preserve">directly inhibits sclerostin, resulting in both decreased bone resorption and increased new bone formation. A randomized, controlled trial previously showed that romosozumab treatment resulted in a lower risk of new vertebral fracture compared to placebo. However, prior to this study, romosozumab had not been </w:t>
      </w:r>
      <w:r w:rsidR="00FF19AD">
        <w:rPr>
          <w:rFonts w:ascii="Arial" w:hAnsi="Arial" w:cs="Arial"/>
          <w:sz w:val="20"/>
          <w:szCs w:val="20"/>
        </w:rPr>
        <w:t>compared</w:t>
      </w:r>
      <w:r w:rsidR="00A33017">
        <w:rPr>
          <w:rFonts w:ascii="Arial" w:hAnsi="Arial" w:cs="Arial"/>
          <w:sz w:val="20"/>
          <w:szCs w:val="20"/>
        </w:rPr>
        <w:t xml:space="preserve"> to existing osteoporosis treatment.</w:t>
      </w:r>
    </w:p>
    <w:p w14:paraId="1B35D747" w14:textId="7B908A78" w:rsidR="00A33017" w:rsidRDefault="00A33017">
      <w:pPr>
        <w:rPr>
          <w:rFonts w:ascii="Arial" w:hAnsi="Arial" w:cs="Arial"/>
          <w:sz w:val="20"/>
          <w:szCs w:val="20"/>
        </w:rPr>
      </w:pPr>
    </w:p>
    <w:p w14:paraId="30CCA757" w14:textId="281E24D4" w:rsidR="00BA1F28" w:rsidRDefault="009350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cohort of 4093 female patients with osteoporosis and </w:t>
      </w:r>
      <w:r w:rsidR="00E92D87">
        <w:rPr>
          <w:rFonts w:ascii="Arial" w:hAnsi="Arial" w:cs="Arial"/>
          <w:sz w:val="20"/>
          <w:szCs w:val="20"/>
        </w:rPr>
        <w:t xml:space="preserve">1 </w:t>
      </w:r>
      <w:r w:rsidR="00B975D9">
        <w:rPr>
          <w:rFonts w:ascii="Arial" w:hAnsi="Arial" w:cs="Arial"/>
          <w:sz w:val="20"/>
          <w:szCs w:val="20"/>
        </w:rPr>
        <w:t xml:space="preserve">or more </w:t>
      </w:r>
      <w:r>
        <w:rPr>
          <w:rFonts w:ascii="Arial" w:hAnsi="Arial" w:cs="Arial"/>
          <w:sz w:val="20"/>
          <w:szCs w:val="20"/>
        </w:rPr>
        <w:t>prior fragility</w:t>
      </w:r>
      <w:r w:rsidR="00B975D9">
        <w:rPr>
          <w:rFonts w:ascii="Arial" w:hAnsi="Arial" w:cs="Arial"/>
          <w:sz w:val="20"/>
          <w:szCs w:val="20"/>
        </w:rPr>
        <w:t xml:space="preserve"> fractures was randomized on a 1:1 basis to receive either </w:t>
      </w:r>
      <w:r w:rsidR="00E92D87">
        <w:rPr>
          <w:rFonts w:ascii="Arial" w:hAnsi="Arial" w:cs="Arial"/>
          <w:sz w:val="20"/>
          <w:szCs w:val="20"/>
        </w:rPr>
        <w:t xml:space="preserve">1 </w:t>
      </w:r>
      <w:r w:rsidR="00B975D9">
        <w:rPr>
          <w:rFonts w:ascii="Arial" w:hAnsi="Arial" w:cs="Arial"/>
          <w:sz w:val="20"/>
          <w:szCs w:val="20"/>
        </w:rPr>
        <w:t xml:space="preserve">year of </w:t>
      </w:r>
      <w:proofErr w:type="spellStart"/>
      <w:r w:rsidR="00B975D9">
        <w:rPr>
          <w:rFonts w:ascii="Arial" w:hAnsi="Arial" w:cs="Arial"/>
          <w:sz w:val="20"/>
          <w:szCs w:val="20"/>
        </w:rPr>
        <w:t>romosozumab</w:t>
      </w:r>
      <w:proofErr w:type="spellEnd"/>
      <w:r w:rsidR="00B975D9">
        <w:rPr>
          <w:rFonts w:ascii="Arial" w:hAnsi="Arial" w:cs="Arial"/>
          <w:sz w:val="20"/>
          <w:szCs w:val="20"/>
        </w:rPr>
        <w:t xml:space="preserve"> followed by alendronate or alendronate alone. The primary outcomes assessed were new vertebral fracture in 24 months and new clinical fracture (defined as a symptomatic vertebral fracture or any nonvertebral fracture) within the primary analysis period (defined as a time point after 24 months in which at least 330 patients had experienced clinical fractures).</w:t>
      </w:r>
    </w:p>
    <w:p w14:paraId="4860290E" w14:textId="77777777" w:rsidR="00BA1F28" w:rsidRDefault="00BA1F28">
      <w:pPr>
        <w:rPr>
          <w:rFonts w:ascii="Arial" w:hAnsi="Arial" w:cs="Arial"/>
          <w:sz w:val="20"/>
          <w:szCs w:val="20"/>
        </w:rPr>
      </w:pPr>
    </w:p>
    <w:p w14:paraId="731D08F7" w14:textId="4110EE86" w:rsidR="00A33017" w:rsidRDefault="00B975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BA1F28">
        <w:rPr>
          <w:rFonts w:ascii="Arial" w:hAnsi="Arial" w:cs="Arial"/>
          <w:sz w:val="20"/>
          <w:szCs w:val="20"/>
        </w:rPr>
        <w:t xml:space="preserve"> </w:t>
      </w:r>
      <w:r w:rsidR="00E92D87">
        <w:rPr>
          <w:rFonts w:ascii="Arial" w:hAnsi="Arial" w:cs="Arial"/>
          <w:sz w:val="20"/>
          <w:szCs w:val="20"/>
        </w:rPr>
        <w:t xml:space="preserve">researchers </w:t>
      </w:r>
      <w:r>
        <w:rPr>
          <w:rFonts w:ascii="Arial" w:hAnsi="Arial" w:cs="Arial"/>
          <w:sz w:val="20"/>
          <w:szCs w:val="20"/>
        </w:rPr>
        <w:t>found a 48% decreased risk in new vertebral fractures in the romosozumab group</w:t>
      </w:r>
      <w:r w:rsidR="00FF19AD">
        <w:rPr>
          <w:rFonts w:ascii="Arial" w:hAnsi="Arial" w:cs="Arial"/>
          <w:sz w:val="20"/>
          <w:szCs w:val="20"/>
        </w:rPr>
        <w:t xml:space="preserve"> at 24 months</w:t>
      </w:r>
      <w:r>
        <w:rPr>
          <w:rFonts w:ascii="Arial" w:hAnsi="Arial" w:cs="Arial"/>
          <w:sz w:val="20"/>
          <w:szCs w:val="20"/>
        </w:rPr>
        <w:t xml:space="preserve"> (6.2% vs 11.9%; risk ratio, 0.52; 95% CI</w:t>
      </w:r>
      <w:r w:rsidR="000005A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0.40-0.66</w:t>
      </w:r>
      <w:r w:rsidR="00FF19AD">
        <w:rPr>
          <w:rFonts w:ascii="Arial" w:hAnsi="Arial" w:cs="Arial"/>
          <w:sz w:val="20"/>
          <w:szCs w:val="20"/>
        </w:rPr>
        <w:t xml:space="preserve">; </w:t>
      </w:r>
      <w:r w:rsidR="00FF19AD">
        <w:rPr>
          <w:rFonts w:ascii="Arial" w:hAnsi="Arial" w:cs="Arial"/>
          <w:i/>
          <w:iCs/>
          <w:sz w:val="20"/>
          <w:szCs w:val="20"/>
        </w:rPr>
        <w:t xml:space="preserve">P </w:t>
      </w:r>
      <w:r w:rsidR="00FF19AD">
        <w:rPr>
          <w:rFonts w:ascii="Arial" w:hAnsi="Arial" w:cs="Arial"/>
          <w:sz w:val="20"/>
          <w:szCs w:val="20"/>
        </w:rPr>
        <w:t>&lt; .001).  Th</w:t>
      </w:r>
      <w:r w:rsidR="000005A4">
        <w:rPr>
          <w:rFonts w:ascii="Arial" w:hAnsi="Arial" w:cs="Arial"/>
          <w:sz w:val="20"/>
          <w:szCs w:val="20"/>
        </w:rPr>
        <w:t xml:space="preserve">e </w:t>
      </w:r>
      <w:r w:rsidR="00BA1F28">
        <w:rPr>
          <w:rFonts w:ascii="Arial" w:hAnsi="Arial" w:cs="Arial"/>
          <w:sz w:val="20"/>
          <w:szCs w:val="20"/>
        </w:rPr>
        <w:t>authors</w:t>
      </w:r>
      <w:r w:rsidR="000005A4">
        <w:rPr>
          <w:rFonts w:ascii="Arial" w:hAnsi="Arial" w:cs="Arial"/>
          <w:sz w:val="20"/>
          <w:szCs w:val="20"/>
        </w:rPr>
        <w:t xml:space="preserve"> also reported</w:t>
      </w:r>
      <w:r w:rsidR="00FF19AD">
        <w:rPr>
          <w:rFonts w:ascii="Arial" w:hAnsi="Arial" w:cs="Arial"/>
          <w:sz w:val="20"/>
          <w:szCs w:val="20"/>
        </w:rPr>
        <w:t xml:space="preserve"> a 27% reduction in the risk of clinical fracture in the romosozumab group at the time of primary analysis (9.7% vs 13.0%; hazard ratio</w:t>
      </w:r>
      <w:r w:rsidR="00EE34E8">
        <w:rPr>
          <w:rFonts w:ascii="Arial" w:hAnsi="Arial" w:cs="Arial"/>
          <w:sz w:val="20"/>
          <w:szCs w:val="20"/>
        </w:rPr>
        <w:t xml:space="preserve"> [HR]</w:t>
      </w:r>
      <w:r w:rsidR="00FF19AD">
        <w:rPr>
          <w:rFonts w:ascii="Arial" w:hAnsi="Arial" w:cs="Arial"/>
          <w:sz w:val="20"/>
          <w:szCs w:val="20"/>
        </w:rPr>
        <w:t xml:space="preserve">, 0.73; 95% CI, 0.61-0.88; </w:t>
      </w:r>
      <w:r w:rsidR="00FF19AD">
        <w:rPr>
          <w:rFonts w:ascii="Arial" w:hAnsi="Arial" w:cs="Arial"/>
          <w:i/>
          <w:iCs/>
          <w:sz w:val="20"/>
          <w:szCs w:val="20"/>
        </w:rPr>
        <w:t>P</w:t>
      </w:r>
      <w:r w:rsidR="00FF19AD">
        <w:rPr>
          <w:rFonts w:ascii="Arial" w:hAnsi="Arial" w:cs="Arial"/>
          <w:sz w:val="20"/>
          <w:szCs w:val="20"/>
        </w:rPr>
        <w:t xml:space="preserve"> &lt; 0.001)</w:t>
      </w:r>
    </w:p>
    <w:p w14:paraId="5AE3C975" w14:textId="6FB475E0" w:rsidR="00FF19AD" w:rsidRDefault="00FF19AD">
      <w:pPr>
        <w:rPr>
          <w:rFonts w:ascii="Arial" w:hAnsi="Arial" w:cs="Arial"/>
          <w:sz w:val="20"/>
          <w:szCs w:val="20"/>
        </w:rPr>
      </w:pPr>
    </w:p>
    <w:p w14:paraId="21D03789" w14:textId="0060C005" w:rsidR="00FF19AD" w:rsidRDefault="00FF19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Treatment with romosozumab also resulted in improved secondary outcomes</w:t>
      </w:r>
      <w:r w:rsidR="00BA1F2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EE34E8">
        <w:rPr>
          <w:rFonts w:ascii="Arial" w:hAnsi="Arial" w:cs="Arial"/>
          <w:sz w:val="20"/>
          <w:szCs w:val="20"/>
        </w:rPr>
        <w:t>including</w:t>
      </w:r>
      <w:r>
        <w:rPr>
          <w:rFonts w:ascii="Arial" w:hAnsi="Arial" w:cs="Arial"/>
          <w:sz w:val="20"/>
          <w:szCs w:val="20"/>
        </w:rPr>
        <w:t xml:space="preserve"> a lower risk of nonvertebral fracture (</w:t>
      </w:r>
      <w:r w:rsidR="00EE34E8">
        <w:rPr>
          <w:rFonts w:ascii="Arial" w:hAnsi="Arial" w:cs="Arial"/>
          <w:sz w:val="20"/>
          <w:szCs w:val="20"/>
        </w:rPr>
        <w:t xml:space="preserve">8.7% vs 10.6%; HR, 0.81; 95% CI, 0.66-0.99; </w:t>
      </w:r>
      <w:r w:rsidR="00EE34E8">
        <w:rPr>
          <w:rFonts w:ascii="Arial" w:hAnsi="Arial" w:cs="Arial"/>
          <w:i/>
          <w:iCs/>
          <w:sz w:val="20"/>
          <w:szCs w:val="20"/>
        </w:rPr>
        <w:t>P</w:t>
      </w:r>
      <w:r w:rsidR="00EE34E8">
        <w:rPr>
          <w:rFonts w:ascii="Arial" w:hAnsi="Arial" w:cs="Arial"/>
          <w:sz w:val="20"/>
          <w:szCs w:val="20"/>
        </w:rPr>
        <w:t xml:space="preserve"> = .04</w:t>
      </w:r>
      <w:r>
        <w:rPr>
          <w:rFonts w:ascii="Arial" w:hAnsi="Arial" w:cs="Arial"/>
          <w:sz w:val="20"/>
          <w:szCs w:val="20"/>
        </w:rPr>
        <w:t xml:space="preserve">) and </w:t>
      </w:r>
      <w:r w:rsidR="000005A4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lower risk of hip fracture (</w:t>
      </w:r>
      <w:r w:rsidR="00EE34E8">
        <w:rPr>
          <w:rFonts w:ascii="Arial" w:hAnsi="Arial" w:cs="Arial"/>
          <w:sz w:val="20"/>
          <w:szCs w:val="20"/>
        </w:rPr>
        <w:t>2.0% vs 3.2%; HR, 0.6</w:t>
      </w:r>
      <w:r w:rsidR="000005A4">
        <w:rPr>
          <w:rFonts w:ascii="Arial" w:hAnsi="Arial" w:cs="Arial"/>
          <w:sz w:val="20"/>
          <w:szCs w:val="20"/>
        </w:rPr>
        <w:t>2</w:t>
      </w:r>
      <w:r w:rsidR="00EE34E8">
        <w:rPr>
          <w:rFonts w:ascii="Arial" w:hAnsi="Arial" w:cs="Arial"/>
          <w:sz w:val="20"/>
          <w:szCs w:val="20"/>
        </w:rPr>
        <w:t xml:space="preserve">; 95% CI, 0.42-0.92; </w:t>
      </w:r>
      <w:r w:rsidR="00EE34E8">
        <w:rPr>
          <w:rFonts w:ascii="Arial" w:hAnsi="Arial" w:cs="Arial"/>
          <w:i/>
          <w:iCs/>
          <w:sz w:val="20"/>
          <w:szCs w:val="20"/>
        </w:rPr>
        <w:t>P</w:t>
      </w:r>
      <w:r w:rsidR="00EE34E8">
        <w:rPr>
          <w:rFonts w:ascii="Arial" w:hAnsi="Arial" w:cs="Arial"/>
          <w:sz w:val="20"/>
          <w:szCs w:val="20"/>
        </w:rPr>
        <w:t xml:space="preserve"> = .02</w:t>
      </w:r>
      <w:r>
        <w:rPr>
          <w:rFonts w:ascii="Arial" w:hAnsi="Arial" w:cs="Arial"/>
          <w:sz w:val="20"/>
          <w:szCs w:val="20"/>
        </w:rPr>
        <w:t>).</w:t>
      </w:r>
    </w:p>
    <w:p w14:paraId="27CFFB82" w14:textId="70F070F5" w:rsidR="00EE34E8" w:rsidRDefault="00EE34E8">
      <w:pPr>
        <w:rPr>
          <w:rFonts w:ascii="Arial" w:hAnsi="Arial" w:cs="Arial"/>
          <w:sz w:val="20"/>
          <w:szCs w:val="20"/>
        </w:rPr>
      </w:pPr>
    </w:p>
    <w:p w14:paraId="532A52D3" w14:textId="67A3F757" w:rsidR="00EE34E8" w:rsidRDefault="00442B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However, treatment with romosozumab may confer some increased risks </w:t>
      </w:r>
      <w:r w:rsidR="00E92D87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 xml:space="preserve">certain patients. The </w:t>
      </w:r>
      <w:proofErr w:type="spellStart"/>
      <w:r>
        <w:rPr>
          <w:rFonts w:ascii="Arial" w:hAnsi="Arial" w:cs="Arial"/>
          <w:sz w:val="20"/>
          <w:szCs w:val="20"/>
        </w:rPr>
        <w:t>romosozumab</w:t>
      </w:r>
      <w:proofErr w:type="spellEnd"/>
      <w:r>
        <w:rPr>
          <w:rFonts w:ascii="Arial" w:hAnsi="Arial" w:cs="Arial"/>
          <w:sz w:val="20"/>
          <w:szCs w:val="20"/>
        </w:rPr>
        <w:t xml:space="preserve"> group was found to have a higher risk of serious cardiovascular adverse events (2.5% vs 1.9%; odds ratio [OR], 1.31; 95% CI, 0.85-2.00), cardiac ischemic events (0.8% vs 0.3%; OR, 2.65; 95% CI, 1.03-6.77), and cerebrovascular events (0.8% vs 0.3%; OR, 2.27; 95% CI, 0.93-5.22) during the study period.</w:t>
      </w:r>
    </w:p>
    <w:p w14:paraId="3A34E7A1" w14:textId="1AA6ED92" w:rsidR="00442BEA" w:rsidRDefault="00442BEA">
      <w:pPr>
        <w:rPr>
          <w:rFonts w:ascii="Arial" w:hAnsi="Arial" w:cs="Arial"/>
          <w:sz w:val="20"/>
          <w:szCs w:val="20"/>
        </w:rPr>
      </w:pPr>
    </w:p>
    <w:p w14:paraId="10F4CAF7" w14:textId="7C36FD35" w:rsidR="00442BEA" w:rsidRDefault="007669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Overall, the authors felt their study show</w:t>
      </w:r>
      <w:r w:rsidR="000005A4">
        <w:rPr>
          <w:rFonts w:ascii="Arial" w:hAnsi="Arial" w:cs="Arial"/>
          <w:sz w:val="20"/>
          <w:szCs w:val="20"/>
        </w:rPr>
        <w:t>ed treatment with</w:t>
      </w:r>
      <w:r>
        <w:rPr>
          <w:rFonts w:ascii="Arial" w:hAnsi="Arial" w:cs="Arial"/>
          <w:sz w:val="20"/>
          <w:szCs w:val="20"/>
        </w:rPr>
        <w:t xml:space="preserve"> romosozumab</w:t>
      </w:r>
      <w:r w:rsidR="000005A4">
        <w:rPr>
          <w:rFonts w:ascii="Arial" w:hAnsi="Arial" w:cs="Arial"/>
          <w:sz w:val="20"/>
          <w:szCs w:val="20"/>
        </w:rPr>
        <w:t>-to-alendronate</w:t>
      </w:r>
      <w:r>
        <w:rPr>
          <w:rFonts w:ascii="Arial" w:hAnsi="Arial" w:cs="Arial"/>
          <w:sz w:val="20"/>
          <w:szCs w:val="20"/>
        </w:rPr>
        <w:t xml:space="preserve"> to be superior to alendronate alone in the prevention of osteoporotic fragility fractures, concluding “</w:t>
      </w:r>
      <w:r w:rsidRPr="0076694F">
        <w:rPr>
          <w:rFonts w:ascii="Arial" w:hAnsi="Arial" w:cs="Arial"/>
          <w:sz w:val="20"/>
          <w:szCs w:val="20"/>
        </w:rPr>
        <w:t xml:space="preserve">rapid gains in bone mineral density from bone-forming therapy with romosozumab were associated with a lower risk of fracture than with alendronate within 1 year and over the course of </w:t>
      </w:r>
      <w:proofErr w:type="spellStart"/>
      <w:r w:rsidRPr="0076694F">
        <w:rPr>
          <w:rFonts w:ascii="Arial" w:hAnsi="Arial" w:cs="Arial"/>
          <w:sz w:val="20"/>
          <w:szCs w:val="20"/>
        </w:rPr>
        <w:t>romosozumab</w:t>
      </w:r>
      <w:proofErr w:type="spellEnd"/>
      <w:r w:rsidRPr="0076694F">
        <w:rPr>
          <w:rFonts w:ascii="Arial" w:hAnsi="Arial" w:cs="Arial"/>
          <w:sz w:val="20"/>
          <w:szCs w:val="20"/>
        </w:rPr>
        <w:t xml:space="preserve"> followed by alendronate</w:t>
      </w:r>
      <w:r>
        <w:rPr>
          <w:rFonts w:ascii="Arial" w:hAnsi="Arial" w:cs="Arial"/>
          <w:sz w:val="20"/>
          <w:szCs w:val="20"/>
        </w:rPr>
        <w:t>.”</w:t>
      </w:r>
    </w:p>
    <w:p w14:paraId="6A443E51" w14:textId="57179F96" w:rsidR="0076694F" w:rsidRDefault="0076694F">
      <w:pPr>
        <w:rPr>
          <w:rFonts w:ascii="Arial" w:hAnsi="Arial" w:cs="Arial"/>
          <w:sz w:val="20"/>
          <w:szCs w:val="20"/>
        </w:rPr>
      </w:pPr>
    </w:p>
    <w:p w14:paraId="4052287D" w14:textId="0425E143" w:rsidR="0076694F" w:rsidRDefault="007669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study was sponsored by Amgen, Astellas Pharma, and UCB Pharma.</w:t>
      </w:r>
    </w:p>
    <w:p w14:paraId="3C3F8A8D" w14:textId="6CB31A70" w:rsidR="0076694F" w:rsidRDefault="0076694F">
      <w:pPr>
        <w:rPr>
          <w:rFonts w:ascii="Arial" w:hAnsi="Arial" w:cs="Arial"/>
          <w:sz w:val="20"/>
          <w:szCs w:val="20"/>
        </w:rPr>
      </w:pPr>
    </w:p>
    <w:p w14:paraId="2E0A2503" w14:textId="571F0E04" w:rsidR="0076694F" w:rsidRPr="0076694F" w:rsidRDefault="008976B5" w:rsidP="008976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Saag KG, Petersen J, Brandi ML, et al. </w:t>
      </w:r>
      <w:r w:rsidRPr="008976B5">
        <w:rPr>
          <w:rFonts w:ascii="Arial" w:hAnsi="Arial" w:cs="Arial"/>
          <w:sz w:val="20"/>
          <w:szCs w:val="20"/>
        </w:rPr>
        <w:t xml:space="preserve">Romosozumab or </w:t>
      </w:r>
      <w:r>
        <w:rPr>
          <w:rFonts w:ascii="Arial" w:hAnsi="Arial" w:cs="Arial"/>
          <w:sz w:val="20"/>
          <w:szCs w:val="20"/>
        </w:rPr>
        <w:t>a</w:t>
      </w:r>
      <w:r w:rsidRPr="008976B5">
        <w:rPr>
          <w:rFonts w:ascii="Arial" w:hAnsi="Arial" w:cs="Arial"/>
          <w:sz w:val="20"/>
          <w:szCs w:val="20"/>
        </w:rPr>
        <w:t xml:space="preserve">lendronate for </w:t>
      </w:r>
      <w:r>
        <w:rPr>
          <w:rFonts w:ascii="Arial" w:hAnsi="Arial" w:cs="Arial"/>
          <w:sz w:val="20"/>
          <w:szCs w:val="20"/>
        </w:rPr>
        <w:t>f</w:t>
      </w:r>
      <w:r w:rsidRPr="008976B5">
        <w:rPr>
          <w:rFonts w:ascii="Arial" w:hAnsi="Arial" w:cs="Arial"/>
          <w:sz w:val="20"/>
          <w:szCs w:val="20"/>
        </w:rPr>
        <w:t xml:space="preserve">racture </w:t>
      </w:r>
      <w:r>
        <w:rPr>
          <w:rFonts w:ascii="Arial" w:hAnsi="Arial" w:cs="Arial"/>
          <w:sz w:val="20"/>
          <w:szCs w:val="20"/>
        </w:rPr>
        <w:t>p</w:t>
      </w:r>
      <w:r w:rsidRPr="008976B5">
        <w:rPr>
          <w:rFonts w:ascii="Arial" w:hAnsi="Arial" w:cs="Arial"/>
          <w:sz w:val="20"/>
          <w:szCs w:val="20"/>
        </w:rPr>
        <w:t xml:space="preserve">revention in </w:t>
      </w:r>
      <w:r>
        <w:rPr>
          <w:rFonts w:ascii="Arial" w:hAnsi="Arial" w:cs="Arial"/>
          <w:sz w:val="20"/>
          <w:szCs w:val="20"/>
        </w:rPr>
        <w:t>w</w:t>
      </w:r>
      <w:r w:rsidRPr="008976B5">
        <w:rPr>
          <w:rFonts w:ascii="Arial" w:hAnsi="Arial" w:cs="Arial"/>
          <w:sz w:val="20"/>
          <w:szCs w:val="20"/>
        </w:rPr>
        <w:t xml:space="preserve">omen with </w:t>
      </w:r>
      <w:r>
        <w:rPr>
          <w:rFonts w:ascii="Arial" w:hAnsi="Arial" w:cs="Arial"/>
          <w:sz w:val="20"/>
          <w:szCs w:val="20"/>
        </w:rPr>
        <w:t>o</w:t>
      </w:r>
      <w:r w:rsidRPr="008976B5">
        <w:rPr>
          <w:rFonts w:ascii="Arial" w:hAnsi="Arial" w:cs="Arial"/>
          <w:sz w:val="20"/>
          <w:szCs w:val="20"/>
        </w:rPr>
        <w:t>steoporosis</w:t>
      </w:r>
      <w:r>
        <w:rPr>
          <w:rFonts w:ascii="Arial" w:hAnsi="Arial" w:cs="Arial"/>
          <w:sz w:val="20"/>
          <w:szCs w:val="20"/>
        </w:rPr>
        <w:t xml:space="preserve">. </w:t>
      </w:r>
      <w:r w:rsidRPr="008976B5">
        <w:rPr>
          <w:rFonts w:ascii="Arial" w:hAnsi="Arial" w:cs="Arial"/>
          <w:i/>
          <w:iCs/>
          <w:sz w:val="20"/>
          <w:szCs w:val="20"/>
        </w:rPr>
        <w:t xml:space="preserve">N </w:t>
      </w:r>
      <w:proofErr w:type="spellStart"/>
      <w:r w:rsidRPr="008976B5">
        <w:rPr>
          <w:rFonts w:ascii="Arial" w:hAnsi="Arial" w:cs="Arial"/>
          <w:i/>
          <w:iCs/>
          <w:sz w:val="20"/>
          <w:szCs w:val="20"/>
        </w:rPr>
        <w:t>Engl</w:t>
      </w:r>
      <w:proofErr w:type="spellEnd"/>
      <w:r w:rsidRPr="008976B5">
        <w:rPr>
          <w:rFonts w:ascii="Arial" w:hAnsi="Arial" w:cs="Arial"/>
          <w:i/>
          <w:iCs/>
          <w:sz w:val="20"/>
          <w:szCs w:val="20"/>
        </w:rPr>
        <w:t xml:space="preserve"> J Med.</w:t>
      </w:r>
      <w:r w:rsidRPr="008976B5">
        <w:rPr>
          <w:rFonts w:ascii="Arial" w:hAnsi="Arial" w:cs="Arial"/>
          <w:sz w:val="20"/>
          <w:szCs w:val="20"/>
        </w:rPr>
        <w:t xml:space="preserve"> 2017;377(15):1417-1427. doi:10.1056/NEJMoa1708322</w:t>
      </w:r>
    </w:p>
    <w:sectPr w:rsidR="0076694F" w:rsidRPr="0076694F" w:rsidSect="001B5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E32A4" w14:textId="77777777" w:rsidR="00FD19B0" w:rsidRDefault="00FD19B0" w:rsidP="007A5B39">
      <w:r>
        <w:separator/>
      </w:r>
    </w:p>
  </w:endnote>
  <w:endnote w:type="continuationSeparator" w:id="0">
    <w:p w14:paraId="7191AE21" w14:textId="77777777" w:rsidR="00FD19B0" w:rsidRDefault="00FD19B0" w:rsidP="007A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B83F5" w14:textId="77777777" w:rsidR="00FD19B0" w:rsidRDefault="00FD19B0" w:rsidP="007A5B39">
      <w:r>
        <w:separator/>
      </w:r>
    </w:p>
  </w:footnote>
  <w:footnote w:type="continuationSeparator" w:id="0">
    <w:p w14:paraId="790339EB" w14:textId="77777777" w:rsidR="00FD19B0" w:rsidRDefault="00FD19B0" w:rsidP="007A5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2A1"/>
    <w:rsid w:val="000005A4"/>
    <w:rsid w:val="000366F5"/>
    <w:rsid w:val="001B551A"/>
    <w:rsid w:val="002510B4"/>
    <w:rsid w:val="00292F90"/>
    <w:rsid w:val="00442BEA"/>
    <w:rsid w:val="00682CF6"/>
    <w:rsid w:val="006A570E"/>
    <w:rsid w:val="0076694F"/>
    <w:rsid w:val="007A5B39"/>
    <w:rsid w:val="00820700"/>
    <w:rsid w:val="008976B5"/>
    <w:rsid w:val="0093507E"/>
    <w:rsid w:val="00A33017"/>
    <w:rsid w:val="00A872A1"/>
    <w:rsid w:val="00AF6DF2"/>
    <w:rsid w:val="00B975D9"/>
    <w:rsid w:val="00BA1F28"/>
    <w:rsid w:val="00BB4AB5"/>
    <w:rsid w:val="00C32C8F"/>
    <w:rsid w:val="00E6659E"/>
    <w:rsid w:val="00E92D87"/>
    <w:rsid w:val="00EC69FC"/>
    <w:rsid w:val="00EE34E8"/>
    <w:rsid w:val="00EE496F"/>
    <w:rsid w:val="00FD19B0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0D9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2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2F9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5B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B39"/>
  </w:style>
  <w:style w:type="paragraph" w:styleId="Footer">
    <w:name w:val="footer"/>
    <w:basedOn w:val="Normal"/>
    <w:link w:val="FooterChar"/>
    <w:uiPriority w:val="99"/>
    <w:unhideWhenUsed/>
    <w:rsid w:val="007A5B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B39"/>
  </w:style>
  <w:style w:type="paragraph" w:styleId="Revision">
    <w:name w:val="Revision"/>
    <w:hidden/>
    <w:uiPriority w:val="99"/>
    <w:semiHidden/>
    <w:rsid w:val="00E92D87"/>
  </w:style>
  <w:style w:type="character" w:styleId="CommentReference">
    <w:name w:val="annotation reference"/>
    <w:basedOn w:val="DefaultParagraphFont"/>
    <w:uiPriority w:val="99"/>
    <w:semiHidden/>
    <w:unhideWhenUsed/>
    <w:rsid w:val="00E92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D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D8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E92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Nichols</dc:creator>
  <cp:keywords/>
  <dc:description/>
  <cp:lastModifiedBy>Daniel Kiridly</cp:lastModifiedBy>
  <cp:revision>2</cp:revision>
  <dcterms:created xsi:type="dcterms:W3CDTF">2022-12-09T19:42:00Z</dcterms:created>
  <dcterms:modified xsi:type="dcterms:W3CDTF">2022-12-09T19:42:00Z</dcterms:modified>
</cp:coreProperties>
</file>